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 Narrow" w:hAnsi="Arial Narrow" w:cs="Arial Narrow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Arial Narrow" w:hAnsi="Arial Narrow" w:cs="Arial Narrow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Arial Narrow" w:hAnsi="Arial Narrow" w:cs="Arial Narrow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Arial Narrow" w:hAnsi="Arial Narrow" w:cs="Arial Narrow"/>
          <w:b/>
          <w:bCs/>
          <w:sz w:val="24"/>
          <w:szCs w:val="24"/>
          <w:lang w:val="sr-Cyrl-RS"/>
        </w:rPr>
      </w:pPr>
      <w:r>
        <w:rPr>
          <w:rFonts w:hint="default" w:ascii="Arial Narrow" w:hAnsi="Arial Narrow" w:cs="Arial Narrow"/>
          <w:b/>
          <w:bCs/>
          <w:sz w:val="24"/>
          <w:szCs w:val="24"/>
          <w:lang w:val="sr-Cyrl-RS"/>
        </w:rPr>
        <w:t>ИЗВЕШТАЈ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О СПРОВОЂЕЊУ ПЛАНА УПРАВЉАЊА РИЗИЦИМА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ОД ПОВРЕДЕ ПРИНЦИПА РОДНЕ РАВНОПРАВНОСТИ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За период од 01.01.2023.године до 31.12.2023.године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ГЕРОНТОЛОШКИ ЦЕНТАР ШАБАЦ</w:t>
      </w:r>
    </w:p>
    <w:p>
      <w:pPr>
        <w:rPr>
          <w:rFonts w:hint="default" w:ascii="Arial Narrow" w:hAnsi="Arial Narrow" w:cs="Arial Narrow"/>
          <w:lang w:val="sr-Cyrl-RS"/>
        </w:rPr>
      </w:pP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Назив:                         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ГЕРОНТОЛОШКИ ЦЕНТАР ШАБАЦ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Седиште и адреса: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Latn-RS"/>
        </w:rPr>
        <w:t xml:space="preserve">   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Шабац - Јеленча, Мишарских јунака бб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Број телефона: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Latn-RS"/>
        </w:rPr>
        <w:t xml:space="preserve">        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015/380-871, 380-875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>Електронска адреса: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Latn-RS"/>
        </w:rPr>
        <w:t xml:space="preserve">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begin"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instrText xml:space="preserve"> HYPERLINK "mailto:sabacgc.ust@minrzs.gov.rs" </w:instrTex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separate"/>
      </w:r>
      <w:r>
        <w:rPr>
          <w:rStyle w:val="4"/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t>sabacgc.ust@minrzs.gov.rs</w: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end"/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Веб сајт: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Latn-RS"/>
        </w:rPr>
        <w:t xml:space="preserve">                    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begin"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instrText xml:space="preserve"> HYPERLINK "http://www.gerontoloskicentarsabac.rs" </w:instrTex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separate"/>
      </w:r>
      <w:r>
        <w:rPr>
          <w:rStyle w:val="4"/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t>www.gerontoloskicentarsabac.rs</w: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fldChar w:fldCharType="end"/>
      </w:r>
    </w:p>
    <w:p>
      <w:pP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Матични број: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07120206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 xml:space="preserve">ПИБ:                            </w:t>
      </w:r>
      <w:r>
        <w:rPr>
          <w:rFonts w:hint="default" w:ascii="Arial Narrow" w:hAnsi="Arial Narrow" w:cs="Arial Narrow"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101230092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</w:p>
    <w:p>
      <w:pPr>
        <w:jc w:val="both"/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ab/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План управљања ризицима од повреде принципа родне равноправности ГЕРОНТОЛОШКОГ ЦЕНТРА ШАБАЦ, број 7</w: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t>46</w: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, донет 27.12.202</w:t>
      </w: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Latn-RS"/>
        </w:rPr>
        <w:t>3</w:t>
      </w:r>
      <w:bookmarkStart w:id="0" w:name="_GoBack"/>
      <w:bookmarkEnd w:id="0"/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.године у Шапцу.</w:t>
      </w:r>
    </w:p>
    <w:p>
      <w:pP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Резултати процене ризика који угрожавају примену принципа родне равноправности:</w:t>
      </w:r>
    </w:p>
    <w:p>
      <w:pPr>
        <w:numPr>
          <w:ilvl w:val="0"/>
          <w:numId w:val="2"/>
        </w:numPr>
        <w:tabs>
          <w:tab w:val="left" w:pos="800"/>
          <w:tab w:val="clear" w:pos="425"/>
        </w:tabs>
        <w:ind w:left="8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Навести резултате процене извора угрожавања принципа родне равноправности запослених лица у процесу рада:</w:t>
      </w:r>
    </w:p>
    <w:p>
      <w:pPr>
        <w:numPr>
          <w:ilvl w:val="0"/>
          <w:numId w:val="0"/>
        </w:numPr>
        <w:tabs>
          <w:tab w:val="left" w:pos="800"/>
        </w:tabs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Latn-RS"/>
        </w:rPr>
        <w:t xml:space="preserve">- </w:t>
      </w: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У установи Геронтолошки центар Шабац, нема извора угрожавања принципа родне равноправности-фактори као што су природа делатности, полна структура незапослених одређених занимања ( посебно медицинско особље) односно стање на тржишту рада формирали су “женски колектив” тако да се не може говорити о родној неравноправност, односно дискриминацији мушкараца.</w:t>
      </w:r>
    </w:p>
    <w:p>
      <w:pPr>
        <w:numPr>
          <w:ilvl w:val="0"/>
          <w:numId w:val="2"/>
        </w:numPr>
        <w:tabs>
          <w:tab w:val="left" w:pos="800"/>
          <w:tab w:val="clear" w:pos="425"/>
        </w:tabs>
        <w:ind w:left="8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Навести предвиђен степен вероватноће настанка ризика у плану управљања ризцима за годину извештавања:</w:t>
      </w:r>
    </w:p>
    <w:p>
      <w:pPr>
        <w:numPr>
          <w:ilvl w:val="0"/>
          <w:numId w:val="3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Занемарљив</w:t>
      </w:r>
    </w:p>
    <w:p>
      <w:pPr>
        <w:numPr>
          <w:ilvl w:val="0"/>
          <w:numId w:val="3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Мали</w:t>
      </w:r>
    </w:p>
    <w:p>
      <w:pPr>
        <w:numPr>
          <w:ilvl w:val="0"/>
          <w:numId w:val="3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Средњи</w:t>
      </w:r>
    </w:p>
    <w:p>
      <w:pPr>
        <w:numPr>
          <w:ilvl w:val="0"/>
          <w:numId w:val="3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Велики</w:t>
      </w:r>
    </w:p>
    <w:p>
      <w:pPr>
        <w:numPr>
          <w:ilvl w:val="0"/>
          <w:numId w:val="3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Изразито велики</w:t>
      </w:r>
    </w:p>
    <w:p>
      <w:pPr>
        <w:numPr>
          <w:ilvl w:val="0"/>
          <w:numId w:val="0"/>
        </w:numPr>
        <w:ind w:left="9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2"/>
        </w:numPr>
        <w:tabs>
          <w:tab w:val="clear" w:pos="425"/>
        </w:tabs>
        <w:ind w:left="8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Број регистрованих случајева угрожавања принципа родне равноправности у години извештавања разврстаних према степену ризика:</w:t>
      </w:r>
    </w:p>
    <w:p>
      <w:pPr>
        <w:numPr>
          <w:ilvl w:val="0"/>
          <w:numId w:val="4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Веома висок (црвена)</w:t>
      </w:r>
    </w:p>
    <w:p>
      <w:pPr>
        <w:numPr>
          <w:ilvl w:val="0"/>
          <w:numId w:val="4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Висок (наранџаста)</w:t>
      </w:r>
    </w:p>
    <w:p>
      <w:pPr>
        <w:numPr>
          <w:ilvl w:val="0"/>
          <w:numId w:val="4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Умерени (жута)</w:t>
      </w:r>
    </w:p>
    <w:p>
      <w:pPr>
        <w:numPr>
          <w:ilvl w:val="0"/>
          <w:numId w:val="4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Низак (зелени)</w:t>
      </w:r>
    </w:p>
    <w:p>
      <w:pPr>
        <w:numPr>
          <w:ilvl w:val="0"/>
          <w:numId w:val="0"/>
        </w:numPr>
        <w:ind w:left="9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2"/>
        </w:numPr>
        <w:tabs>
          <w:tab w:val="clear" w:pos="425"/>
        </w:tabs>
        <w:ind w:left="8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Навести процену последица које су наступиле услед повреде принципа родне равноправности код запослених лица у процесу рада:</w:t>
      </w:r>
    </w:p>
    <w:p>
      <w:pPr>
        <w:numPr>
          <w:ilvl w:val="0"/>
          <w:numId w:val="5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Катастрофалне</w:t>
      </w:r>
    </w:p>
    <w:p>
      <w:pPr>
        <w:numPr>
          <w:ilvl w:val="0"/>
          <w:numId w:val="5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Озбиљне</w:t>
      </w:r>
    </w:p>
    <w:p>
      <w:pPr>
        <w:numPr>
          <w:ilvl w:val="0"/>
          <w:numId w:val="5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Умерене</w:t>
      </w:r>
    </w:p>
    <w:p>
      <w:pPr>
        <w:numPr>
          <w:ilvl w:val="0"/>
          <w:numId w:val="5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Мале</w:t>
      </w:r>
    </w:p>
    <w:p>
      <w:pPr>
        <w:numPr>
          <w:ilvl w:val="0"/>
          <w:numId w:val="5"/>
        </w:numPr>
        <w:tabs>
          <w:tab w:val="clear" w:pos="425"/>
        </w:tabs>
        <w:ind w:left="1400" w:leftChars="0" w:hanging="425" w:firstLineChars="0"/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  <w:t>Минималне</w:t>
      </w:r>
    </w:p>
    <w:p>
      <w:pPr>
        <w:numPr>
          <w:ilvl w:val="0"/>
          <w:numId w:val="0"/>
        </w:numP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2"/>
        </w:numPr>
        <w:tabs>
          <w:tab w:val="clear" w:pos="425"/>
        </w:tabs>
        <w:ind w:left="800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Навести резултате процене потреба и могућности за заштиту запослених лица</w:t>
      </w: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Latn-RS"/>
        </w:rPr>
        <w:t xml:space="preserve"> </w:t>
      </w: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у процесу рада од повреде принципа родне равноправности:</w:t>
      </w: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ind w:left="375" w:left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Мере предвиђене планом управљања ризицима од повреде принципа родне равноправности:</w:t>
      </w: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1) спроведени су периодични превентивни прегледи запослених у скаду са  њиховим потребама (специјалистички прегледи) у складу са Актом о процени ризика.</w:t>
      </w: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Latn-RS"/>
        </w:rPr>
        <w:t>-</w:t>
      </w: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 xml:space="preserve"> спроведене су превентивне мере безбедности и здравља на раду утврђене прописима и Актом о процени ризика.</w:t>
      </w: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Информације о спроведеним мерама предвиђеним планом управљања ризицима од повреде принципа родне равноправности:</w:t>
      </w:r>
    </w:p>
    <w:p>
      <w:pPr>
        <w:numPr>
          <w:ilvl w:val="0"/>
          <w:numId w:val="6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спроведени су периодични превентивни прегледи запослених у скаду са  њиховим потребама (специјалистички прегледи) у складу са Актом о процени ризика.</w:t>
      </w: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/>
          <w:bCs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0"/>
        </w:numPr>
        <w:tabs>
          <w:tab w:val="left" w:pos="1400"/>
        </w:tabs>
        <w:jc w:val="both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Latn-RS"/>
        </w:rPr>
        <w:t>-</w:t>
      </w: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 xml:space="preserve"> спроведене су превентивне мере безбедности и здравља на раду утврђене прописима и Актом о процени ризика.</w:t>
      </w:r>
    </w:p>
    <w:p>
      <w:pPr>
        <w:numPr>
          <w:ilvl w:val="0"/>
          <w:numId w:val="0"/>
        </w:numPr>
        <w:tabs>
          <w:tab w:val="left" w:pos="1400"/>
        </w:tabs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  <w:r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  <w:t>Разлози због којих мере нису спроведене:</w:t>
      </w:r>
    </w:p>
    <w:p>
      <w:pPr>
        <w:numPr>
          <w:ilvl w:val="0"/>
          <w:numId w:val="0"/>
        </w:numPr>
        <w:tabs>
          <w:tab w:val="left" w:pos="1400"/>
        </w:tabs>
        <w:rPr>
          <w:rFonts w:hint="default" w:ascii="Arial Narrow" w:hAnsi="Arial Narrow" w:cs="Arial Narrow"/>
          <w:b w:val="0"/>
          <w:bCs w:val="0"/>
          <w:sz w:val="20"/>
          <w:szCs w:val="20"/>
          <w:vertAlign w:val="baseline"/>
          <w:lang w:val="sr-Cyrl-RS"/>
        </w:rPr>
      </w:pPr>
    </w:p>
    <w:p>
      <w:pPr>
        <w:ind w:firstLine="720" w:firstLineChars="0"/>
        <w:rPr>
          <w:rFonts w:hint="default"/>
          <w:lang w:val="sr-Cyrl-RS"/>
        </w:rPr>
      </w:pPr>
      <w:r>
        <w:rPr>
          <w:rFonts w:hint="default"/>
          <w:lang w:val="sr-Cyrl-RS"/>
        </w:rPr>
        <w:t>1)-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ЛИЦЕ ЗАДУЖЕНА ЗА САЧИЊАВАЊЕ ИЗВЕШТАЈА: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3"/>
        <w:gridCol w:w="1474"/>
        <w:gridCol w:w="3051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ПРЕЗИМЕ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КОНТАКТ ТЕЛ.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ЕЛ.АДРЕСА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ПОТПИС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Latn-RS"/>
              </w:rPr>
              <w:t>M</w:t>
            </w:r>
            <w:r>
              <w:rPr>
                <w:rFonts w:hint="default"/>
                <w:vertAlign w:val="baseline"/>
                <w:lang w:val="sr-Cyrl-RS"/>
              </w:rPr>
              <w:t>илијана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Драшковић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069/8637301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Latn-RS"/>
              </w:rPr>
            </w:pPr>
            <w:r>
              <w:rPr>
                <w:rFonts w:hint="default"/>
                <w:vertAlign w:val="baseline"/>
                <w:lang w:val="sr-Latn-RS"/>
              </w:rPr>
              <w:t>milijanadraskovic1959@gmail.com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Датум: 03.01.2023.године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Место: Шабац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>ВД ДИРЕКТОРА УСТАНОВЕ,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>_______________________</w:t>
      </w:r>
    </w:p>
    <w:p>
      <w:pPr>
        <w:jc w:val="center"/>
        <w:rPr>
          <w:rFonts w:hint="default"/>
          <w:lang w:val="sr-Cyrl-RS"/>
        </w:rPr>
      </w:pPr>
      <w:r>
        <w:rPr>
          <w:rFonts w:hint="default"/>
          <w:lang w:val="sr-Latn-RS"/>
        </w:rPr>
        <w:t xml:space="preserve">                                                                                                                                </w:t>
      </w:r>
      <w:r>
        <w:rPr>
          <w:rFonts w:hint="default"/>
          <w:lang w:val="sr-Cyrl-RS"/>
        </w:rPr>
        <w:t>Марија Марковић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</w:p>
    <w:p>
      <w:pPr>
        <w:rPr>
          <w:rFonts w:hint="default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97ECA"/>
    <w:multiLevelType w:val="singleLevel"/>
    <w:tmpl w:val="83497EC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08652B6"/>
    <w:multiLevelType w:val="singleLevel"/>
    <w:tmpl w:val="B08652B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1AE0322F"/>
    <w:multiLevelType w:val="singleLevel"/>
    <w:tmpl w:val="1AE0322F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36E6FC3B"/>
    <w:multiLevelType w:val="singleLevel"/>
    <w:tmpl w:val="36E6FC3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48894A3E"/>
    <w:multiLevelType w:val="singleLevel"/>
    <w:tmpl w:val="48894A3E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67C86F4C"/>
    <w:multiLevelType w:val="singleLevel"/>
    <w:tmpl w:val="67C86F4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29BD"/>
    <w:rsid w:val="11A7315D"/>
    <w:rsid w:val="1BA101AC"/>
    <w:rsid w:val="1C773F88"/>
    <w:rsid w:val="1DED3821"/>
    <w:rsid w:val="26E331CC"/>
    <w:rsid w:val="30233237"/>
    <w:rsid w:val="37C75821"/>
    <w:rsid w:val="390B412F"/>
    <w:rsid w:val="46AD0FF8"/>
    <w:rsid w:val="479144BE"/>
    <w:rsid w:val="4E221AB1"/>
    <w:rsid w:val="565826B8"/>
    <w:rsid w:val="62E507A2"/>
    <w:rsid w:val="6859166C"/>
    <w:rsid w:val="6CEF0A9B"/>
    <w:rsid w:val="6F073A74"/>
    <w:rsid w:val="71640442"/>
    <w:rsid w:val="72B6141C"/>
    <w:rsid w:val="75752E94"/>
    <w:rsid w:val="77F76ACB"/>
    <w:rsid w:val="7A2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2022-12-23T07:25:00Z</dcterms:created>
  <dc:creator>Maja</dc:creator>
  <cp:lastModifiedBy>Milijana</cp:lastModifiedBy>
  <cp:lastPrinted>2024-01-18T13:44:42Z</cp:lastPrinted>
  <dcterms:modified xsi:type="dcterms:W3CDTF">2024-01-18T13:44:49Z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5CDB7F6B8BA94BBE929557C222850552</vt:lpwstr>
  </property>
</Properties>
</file>